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15B1" w:rsidRPr="00726ECD" w:rsidRDefault="00EA15B1" w:rsidP="00726ECD">
      <w:pPr>
        <w:spacing w:line="480" w:lineRule="auto"/>
        <w:ind w:firstLine="720"/>
        <w:jc w:val="center"/>
        <w:rPr>
          <w:rFonts w:ascii="Times New Roman" w:hAnsi="Times New Roman" w:cs="Times New Roman"/>
          <w:sz w:val="24"/>
          <w:szCs w:val="24"/>
        </w:rPr>
      </w:pPr>
    </w:p>
    <w:p w:rsidR="00EA15B1" w:rsidRPr="00726ECD" w:rsidRDefault="00EA15B1" w:rsidP="00726ECD">
      <w:pPr>
        <w:spacing w:line="480" w:lineRule="auto"/>
        <w:ind w:firstLine="720"/>
        <w:jc w:val="center"/>
        <w:rPr>
          <w:rFonts w:ascii="Times New Roman" w:hAnsi="Times New Roman" w:cs="Times New Roman"/>
          <w:sz w:val="24"/>
          <w:szCs w:val="24"/>
        </w:rPr>
      </w:pPr>
    </w:p>
    <w:p w:rsidR="00EA15B1" w:rsidRPr="00726ECD" w:rsidRDefault="00EA15B1" w:rsidP="00726ECD">
      <w:pPr>
        <w:spacing w:line="480" w:lineRule="auto"/>
        <w:ind w:firstLine="720"/>
        <w:jc w:val="center"/>
        <w:rPr>
          <w:rFonts w:ascii="Times New Roman" w:hAnsi="Times New Roman" w:cs="Times New Roman"/>
          <w:sz w:val="24"/>
          <w:szCs w:val="24"/>
        </w:rPr>
      </w:pPr>
    </w:p>
    <w:p w:rsidR="00EA15B1" w:rsidRPr="00726ECD" w:rsidRDefault="00EA15B1" w:rsidP="00726ECD">
      <w:pPr>
        <w:spacing w:line="480" w:lineRule="auto"/>
        <w:ind w:firstLine="720"/>
        <w:jc w:val="center"/>
        <w:rPr>
          <w:rFonts w:ascii="Times New Roman" w:hAnsi="Times New Roman" w:cs="Times New Roman"/>
          <w:sz w:val="24"/>
          <w:szCs w:val="24"/>
        </w:rPr>
      </w:pPr>
    </w:p>
    <w:p w:rsidR="00EA15B1" w:rsidRPr="00726ECD" w:rsidRDefault="00EA15B1" w:rsidP="00726ECD">
      <w:pPr>
        <w:spacing w:line="480" w:lineRule="auto"/>
        <w:ind w:firstLine="720"/>
        <w:jc w:val="center"/>
        <w:rPr>
          <w:rFonts w:ascii="Times New Roman" w:hAnsi="Times New Roman" w:cs="Times New Roman"/>
          <w:sz w:val="24"/>
          <w:szCs w:val="24"/>
        </w:rPr>
      </w:pPr>
    </w:p>
    <w:p w:rsidR="00EA15B1" w:rsidRPr="00726ECD" w:rsidRDefault="00EA15B1" w:rsidP="00726ECD">
      <w:pPr>
        <w:spacing w:line="480" w:lineRule="auto"/>
        <w:ind w:firstLine="720"/>
        <w:jc w:val="center"/>
        <w:rPr>
          <w:rFonts w:ascii="Times New Roman" w:hAnsi="Times New Roman" w:cs="Times New Roman"/>
          <w:sz w:val="24"/>
          <w:szCs w:val="24"/>
        </w:rPr>
      </w:pPr>
    </w:p>
    <w:p w:rsidR="00EA15B1" w:rsidRPr="00726ECD" w:rsidRDefault="00AB5245" w:rsidP="00726ECD">
      <w:pPr>
        <w:spacing w:line="480" w:lineRule="auto"/>
        <w:ind w:firstLine="720"/>
        <w:jc w:val="center"/>
        <w:rPr>
          <w:rFonts w:ascii="Times New Roman" w:hAnsi="Times New Roman" w:cs="Times New Roman"/>
          <w:sz w:val="24"/>
          <w:szCs w:val="24"/>
        </w:rPr>
      </w:pPr>
      <w:r w:rsidRPr="00726ECD">
        <w:rPr>
          <w:rFonts w:ascii="Times New Roman" w:hAnsi="Times New Roman" w:cs="Times New Roman"/>
          <w:sz w:val="24"/>
          <w:szCs w:val="24"/>
        </w:rPr>
        <w:t>Essentials of Business Law</w:t>
      </w:r>
    </w:p>
    <w:p w:rsidR="00EA15B1" w:rsidRPr="00726ECD" w:rsidRDefault="00AB5245" w:rsidP="00726ECD">
      <w:pPr>
        <w:spacing w:line="480" w:lineRule="auto"/>
        <w:ind w:firstLine="720"/>
        <w:jc w:val="center"/>
        <w:rPr>
          <w:rFonts w:ascii="Times New Roman" w:hAnsi="Times New Roman" w:cs="Times New Roman"/>
          <w:sz w:val="24"/>
          <w:szCs w:val="24"/>
        </w:rPr>
      </w:pPr>
      <w:r w:rsidRPr="00726ECD">
        <w:rPr>
          <w:rFonts w:ascii="Times New Roman" w:hAnsi="Times New Roman" w:cs="Times New Roman"/>
          <w:sz w:val="24"/>
          <w:szCs w:val="24"/>
        </w:rPr>
        <w:t>Student’s Name</w:t>
      </w:r>
    </w:p>
    <w:p w:rsidR="00EA15B1" w:rsidRPr="00726ECD" w:rsidRDefault="00AB5245" w:rsidP="00726ECD">
      <w:pPr>
        <w:spacing w:line="480" w:lineRule="auto"/>
        <w:ind w:firstLine="720"/>
        <w:jc w:val="center"/>
        <w:rPr>
          <w:rFonts w:ascii="Times New Roman" w:hAnsi="Times New Roman" w:cs="Times New Roman"/>
          <w:sz w:val="24"/>
          <w:szCs w:val="24"/>
        </w:rPr>
      </w:pPr>
      <w:r w:rsidRPr="00726ECD">
        <w:rPr>
          <w:rFonts w:ascii="Times New Roman" w:hAnsi="Times New Roman" w:cs="Times New Roman"/>
          <w:sz w:val="24"/>
          <w:szCs w:val="24"/>
        </w:rPr>
        <w:t>Institution</w:t>
      </w:r>
    </w:p>
    <w:p w:rsidR="00EA15B1" w:rsidRPr="00726ECD" w:rsidRDefault="00AB5245" w:rsidP="00726ECD">
      <w:pPr>
        <w:spacing w:line="480" w:lineRule="auto"/>
        <w:ind w:firstLine="720"/>
        <w:jc w:val="center"/>
        <w:rPr>
          <w:rFonts w:ascii="Times New Roman" w:hAnsi="Times New Roman" w:cs="Times New Roman"/>
          <w:sz w:val="24"/>
          <w:szCs w:val="24"/>
        </w:rPr>
      </w:pPr>
      <w:r w:rsidRPr="00726ECD">
        <w:rPr>
          <w:rFonts w:ascii="Times New Roman" w:hAnsi="Times New Roman" w:cs="Times New Roman"/>
          <w:sz w:val="24"/>
          <w:szCs w:val="24"/>
        </w:rPr>
        <w:t>Course</w:t>
      </w:r>
    </w:p>
    <w:p w:rsidR="00EA15B1" w:rsidRPr="00726ECD" w:rsidRDefault="00AB5245" w:rsidP="00726ECD">
      <w:pPr>
        <w:spacing w:line="480" w:lineRule="auto"/>
        <w:ind w:firstLine="720"/>
        <w:jc w:val="center"/>
        <w:rPr>
          <w:rFonts w:ascii="Times New Roman" w:hAnsi="Times New Roman" w:cs="Times New Roman"/>
          <w:sz w:val="24"/>
          <w:szCs w:val="24"/>
        </w:rPr>
      </w:pPr>
      <w:r w:rsidRPr="00726ECD">
        <w:rPr>
          <w:rFonts w:ascii="Times New Roman" w:hAnsi="Times New Roman" w:cs="Times New Roman"/>
          <w:sz w:val="24"/>
          <w:szCs w:val="24"/>
        </w:rPr>
        <w:t>Professor’s Name</w:t>
      </w:r>
    </w:p>
    <w:p w:rsidR="00EA15B1" w:rsidRPr="00726ECD" w:rsidRDefault="00AB5245" w:rsidP="00726ECD">
      <w:pPr>
        <w:spacing w:line="480" w:lineRule="auto"/>
        <w:ind w:firstLine="720"/>
        <w:jc w:val="center"/>
        <w:rPr>
          <w:rFonts w:ascii="Times New Roman" w:hAnsi="Times New Roman" w:cs="Times New Roman"/>
          <w:sz w:val="24"/>
          <w:szCs w:val="24"/>
        </w:rPr>
      </w:pPr>
      <w:r w:rsidRPr="00726ECD">
        <w:rPr>
          <w:rFonts w:ascii="Times New Roman" w:hAnsi="Times New Roman" w:cs="Times New Roman"/>
          <w:sz w:val="24"/>
          <w:szCs w:val="24"/>
        </w:rPr>
        <w:t>Date</w:t>
      </w:r>
    </w:p>
    <w:p w:rsidR="00EA15B1" w:rsidRPr="00726ECD" w:rsidRDefault="00EA15B1" w:rsidP="00726ECD">
      <w:pPr>
        <w:spacing w:line="480" w:lineRule="auto"/>
        <w:ind w:firstLine="720"/>
        <w:jc w:val="center"/>
        <w:rPr>
          <w:rFonts w:ascii="Times New Roman" w:hAnsi="Times New Roman" w:cs="Times New Roman"/>
          <w:sz w:val="24"/>
          <w:szCs w:val="24"/>
        </w:rPr>
      </w:pPr>
    </w:p>
    <w:p w:rsidR="0030394A" w:rsidRPr="00726ECD" w:rsidRDefault="0030394A" w:rsidP="00726ECD">
      <w:pPr>
        <w:spacing w:line="480" w:lineRule="auto"/>
        <w:ind w:firstLine="720"/>
        <w:jc w:val="center"/>
        <w:rPr>
          <w:rFonts w:ascii="Times New Roman" w:hAnsi="Times New Roman" w:cs="Times New Roman"/>
          <w:sz w:val="24"/>
          <w:szCs w:val="24"/>
        </w:rPr>
      </w:pPr>
    </w:p>
    <w:p w:rsidR="0030394A" w:rsidRPr="00726ECD" w:rsidRDefault="0030394A" w:rsidP="00726ECD">
      <w:pPr>
        <w:spacing w:line="480" w:lineRule="auto"/>
        <w:ind w:firstLine="720"/>
        <w:jc w:val="center"/>
        <w:rPr>
          <w:rFonts w:ascii="Times New Roman" w:hAnsi="Times New Roman" w:cs="Times New Roman"/>
          <w:sz w:val="24"/>
          <w:szCs w:val="24"/>
        </w:rPr>
      </w:pPr>
    </w:p>
    <w:p w:rsidR="0030394A" w:rsidRPr="00726ECD" w:rsidRDefault="0030394A" w:rsidP="00726ECD">
      <w:pPr>
        <w:spacing w:line="480" w:lineRule="auto"/>
        <w:ind w:firstLine="720"/>
        <w:jc w:val="center"/>
        <w:rPr>
          <w:rFonts w:ascii="Times New Roman" w:hAnsi="Times New Roman" w:cs="Times New Roman"/>
          <w:sz w:val="24"/>
          <w:szCs w:val="24"/>
        </w:rPr>
      </w:pPr>
    </w:p>
    <w:p w:rsidR="0030394A" w:rsidRPr="00726ECD" w:rsidRDefault="0030394A" w:rsidP="00726ECD">
      <w:pPr>
        <w:spacing w:line="480" w:lineRule="auto"/>
        <w:ind w:firstLine="720"/>
        <w:jc w:val="center"/>
        <w:rPr>
          <w:rFonts w:ascii="Times New Roman" w:hAnsi="Times New Roman" w:cs="Times New Roman"/>
          <w:sz w:val="24"/>
          <w:szCs w:val="24"/>
        </w:rPr>
      </w:pPr>
    </w:p>
    <w:p w:rsidR="0030394A" w:rsidRPr="00726ECD" w:rsidRDefault="0030394A" w:rsidP="00726ECD">
      <w:pPr>
        <w:spacing w:line="480" w:lineRule="auto"/>
        <w:ind w:firstLine="720"/>
        <w:jc w:val="center"/>
        <w:rPr>
          <w:rFonts w:ascii="Times New Roman" w:hAnsi="Times New Roman" w:cs="Times New Roman"/>
          <w:sz w:val="24"/>
          <w:szCs w:val="24"/>
        </w:rPr>
      </w:pPr>
    </w:p>
    <w:p w:rsidR="0030394A" w:rsidRPr="00726ECD" w:rsidRDefault="00AB5245" w:rsidP="00726ECD">
      <w:pPr>
        <w:spacing w:line="480" w:lineRule="auto"/>
        <w:ind w:firstLine="720"/>
        <w:jc w:val="center"/>
        <w:rPr>
          <w:rFonts w:ascii="Times New Roman" w:hAnsi="Times New Roman" w:cs="Times New Roman"/>
          <w:sz w:val="24"/>
          <w:szCs w:val="24"/>
        </w:rPr>
      </w:pPr>
      <w:r w:rsidRPr="00726ECD">
        <w:rPr>
          <w:rFonts w:ascii="Times New Roman" w:hAnsi="Times New Roman" w:cs="Times New Roman"/>
          <w:sz w:val="24"/>
          <w:szCs w:val="24"/>
        </w:rPr>
        <w:lastRenderedPageBreak/>
        <w:t>Essentials of Business Law</w:t>
      </w:r>
    </w:p>
    <w:p w:rsidR="0030394A" w:rsidRPr="00726ECD" w:rsidRDefault="00AB5245" w:rsidP="00726ECD">
      <w:pPr>
        <w:spacing w:line="480" w:lineRule="auto"/>
        <w:ind w:firstLine="720"/>
        <w:jc w:val="center"/>
        <w:rPr>
          <w:rFonts w:ascii="Times New Roman" w:hAnsi="Times New Roman" w:cs="Times New Roman"/>
          <w:b/>
          <w:bCs/>
          <w:sz w:val="24"/>
          <w:szCs w:val="24"/>
        </w:rPr>
      </w:pPr>
      <w:r w:rsidRPr="00726ECD">
        <w:rPr>
          <w:rFonts w:ascii="Times New Roman" w:hAnsi="Times New Roman" w:cs="Times New Roman"/>
          <w:b/>
          <w:bCs/>
          <w:sz w:val="24"/>
          <w:szCs w:val="24"/>
        </w:rPr>
        <w:t xml:space="preserve">Question </w:t>
      </w:r>
      <w:r w:rsidR="0057653A" w:rsidRPr="00726ECD">
        <w:rPr>
          <w:rFonts w:ascii="Times New Roman" w:hAnsi="Times New Roman" w:cs="Times New Roman"/>
          <w:b/>
          <w:bCs/>
          <w:sz w:val="24"/>
          <w:szCs w:val="24"/>
        </w:rPr>
        <w:t xml:space="preserve">1 </w:t>
      </w:r>
      <w:r w:rsidRPr="00726ECD">
        <w:rPr>
          <w:rFonts w:ascii="Times New Roman" w:hAnsi="Times New Roman" w:cs="Times New Roman"/>
          <w:b/>
          <w:bCs/>
          <w:sz w:val="24"/>
          <w:szCs w:val="24"/>
        </w:rPr>
        <w:t>(a)</w:t>
      </w:r>
    </w:p>
    <w:p w:rsidR="0030394A" w:rsidRPr="00726ECD" w:rsidRDefault="00AB5245" w:rsidP="00726ECD">
      <w:pPr>
        <w:spacing w:line="480" w:lineRule="auto"/>
        <w:ind w:firstLine="720"/>
        <w:rPr>
          <w:rFonts w:ascii="Times New Roman" w:hAnsi="Times New Roman" w:cs="Times New Roman"/>
          <w:sz w:val="24"/>
          <w:szCs w:val="24"/>
        </w:rPr>
      </w:pPr>
      <w:r w:rsidRPr="00726ECD">
        <w:rPr>
          <w:rFonts w:ascii="Times New Roman" w:hAnsi="Times New Roman" w:cs="Times New Roman"/>
          <w:sz w:val="24"/>
          <w:szCs w:val="24"/>
        </w:rPr>
        <w:t>First, consideration may be past, present, or future</w:t>
      </w:r>
      <w:r w:rsidR="0020042F" w:rsidRPr="00726ECD">
        <w:rPr>
          <w:rFonts w:ascii="Times New Roman" w:hAnsi="Times New Roman" w:cs="Times New Roman"/>
          <w:sz w:val="24"/>
          <w:szCs w:val="24"/>
        </w:rPr>
        <w:t xml:space="preserve"> (</w:t>
      </w:r>
      <w:r w:rsidR="0020042F" w:rsidRPr="00726ECD">
        <w:rPr>
          <w:rFonts w:ascii="Times New Roman" w:hAnsi="Times New Roman" w:cs="Times New Roman"/>
          <w:color w:val="222222"/>
          <w:sz w:val="24"/>
          <w:szCs w:val="24"/>
          <w:shd w:val="clear" w:color="auto" w:fill="FFFFFF"/>
        </w:rPr>
        <w:t>O’Sullivan et al., 2020)</w:t>
      </w:r>
      <w:r w:rsidRPr="00726ECD">
        <w:rPr>
          <w:rFonts w:ascii="Times New Roman" w:hAnsi="Times New Roman" w:cs="Times New Roman"/>
          <w:sz w:val="24"/>
          <w:szCs w:val="24"/>
        </w:rPr>
        <w:t>:  Past consideration entails something wholly suffered, borne, or undertaken before actualizing the agreement. This type also involves considerations for present promises issued before the date for the promises. Regarding English law, there is no recognition for past consideration. Here, consideration must be present or future.</w:t>
      </w:r>
    </w:p>
    <w:p w:rsidR="004D2C34" w:rsidRPr="00726ECD" w:rsidRDefault="00AB5245" w:rsidP="00726ECD">
      <w:pPr>
        <w:spacing w:line="480" w:lineRule="auto"/>
        <w:ind w:firstLine="720"/>
        <w:rPr>
          <w:rFonts w:ascii="Times New Roman" w:hAnsi="Times New Roman" w:cs="Times New Roman"/>
          <w:sz w:val="24"/>
          <w:szCs w:val="24"/>
        </w:rPr>
      </w:pPr>
      <w:r w:rsidRPr="00726ECD">
        <w:rPr>
          <w:rFonts w:ascii="Times New Roman" w:hAnsi="Times New Roman" w:cs="Times New Roman"/>
          <w:sz w:val="24"/>
          <w:szCs w:val="24"/>
        </w:rPr>
        <w:t>Second, consideration does not have to be adequate or match the promise</w:t>
      </w:r>
      <w:r w:rsidR="0020042F" w:rsidRPr="00726ECD">
        <w:rPr>
          <w:rFonts w:ascii="Times New Roman" w:hAnsi="Times New Roman" w:cs="Times New Roman"/>
          <w:sz w:val="24"/>
          <w:szCs w:val="24"/>
        </w:rPr>
        <w:t xml:space="preserve"> (</w:t>
      </w:r>
      <w:r w:rsidR="0020042F" w:rsidRPr="00726ECD">
        <w:rPr>
          <w:rFonts w:ascii="Times New Roman" w:hAnsi="Times New Roman" w:cs="Times New Roman"/>
          <w:color w:val="222222"/>
          <w:sz w:val="24"/>
          <w:szCs w:val="24"/>
          <w:shd w:val="clear" w:color="auto" w:fill="FFFFFF"/>
        </w:rPr>
        <w:t>Djurovic &amp; Janssen, 2018)</w:t>
      </w:r>
      <w:r w:rsidRPr="00726ECD">
        <w:rPr>
          <w:rFonts w:ascii="Times New Roman" w:hAnsi="Times New Roman" w:cs="Times New Roman"/>
          <w:sz w:val="24"/>
          <w:szCs w:val="24"/>
        </w:rPr>
        <w:t>. The primary demand is that considerations back agreements. The parties to a contract have the freedom to choose the best-suited consideration for a promise when bargaining. The promisor has the upper hand to determine the adequacy since the courts or the law have no authority to look into consideration adequacy.</w:t>
      </w:r>
    </w:p>
    <w:p w:rsidR="004D2C34" w:rsidRPr="00726ECD" w:rsidRDefault="00AB5245" w:rsidP="00726ECD">
      <w:pPr>
        <w:spacing w:line="480" w:lineRule="auto"/>
        <w:ind w:firstLine="720"/>
        <w:rPr>
          <w:rFonts w:ascii="Times New Roman" w:hAnsi="Times New Roman" w:cs="Times New Roman"/>
          <w:sz w:val="24"/>
          <w:szCs w:val="24"/>
        </w:rPr>
      </w:pPr>
      <w:r w:rsidRPr="00726ECD">
        <w:rPr>
          <w:rFonts w:ascii="Times New Roman" w:hAnsi="Times New Roman" w:cs="Times New Roman"/>
          <w:sz w:val="24"/>
          <w:szCs w:val="24"/>
        </w:rPr>
        <w:t>Third, consideration must be real, not illusion-based. The competence, certainty, and actualism of consideration are crucial and must not be manipulated. If illusion forms the basis of consideration, say, an individual promising to invent treasure using magic, the agreement is considered null and void.</w:t>
      </w:r>
    </w:p>
    <w:p w:rsidR="004D2C34" w:rsidRPr="00726ECD" w:rsidRDefault="00AB5245" w:rsidP="00726ECD">
      <w:pPr>
        <w:spacing w:line="480" w:lineRule="auto"/>
        <w:ind w:firstLine="720"/>
        <w:rPr>
          <w:rFonts w:ascii="Times New Roman" w:hAnsi="Times New Roman" w:cs="Times New Roman"/>
          <w:sz w:val="24"/>
          <w:szCs w:val="24"/>
        </w:rPr>
      </w:pPr>
      <w:r w:rsidRPr="00726ECD">
        <w:rPr>
          <w:rFonts w:ascii="Times New Roman" w:hAnsi="Times New Roman" w:cs="Times New Roman"/>
          <w:sz w:val="24"/>
          <w:szCs w:val="24"/>
        </w:rPr>
        <w:t xml:space="preserve">According to </w:t>
      </w:r>
      <w:r w:rsidRPr="00726ECD">
        <w:rPr>
          <w:rFonts w:ascii="Times New Roman" w:hAnsi="Times New Roman" w:cs="Times New Roman"/>
          <w:color w:val="222222"/>
          <w:sz w:val="24"/>
          <w:szCs w:val="24"/>
          <w:shd w:val="clear" w:color="auto" w:fill="FFFFFF"/>
        </w:rPr>
        <w:t>Djurovic &amp; Janssen</w:t>
      </w:r>
      <w:r w:rsidRPr="00726ECD">
        <w:rPr>
          <w:rFonts w:ascii="Times New Roman" w:hAnsi="Times New Roman" w:cs="Times New Roman"/>
          <w:sz w:val="24"/>
          <w:szCs w:val="24"/>
        </w:rPr>
        <w:t xml:space="preserve"> (2018), c</w:t>
      </w:r>
      <w:r w:rsidR="0057653A" w:rsidRPr="00726ECD">
        <w:rPr>
          <w:rFonts w:ascii="Times New Roman" w:hAnsi="Times New Roman" w:cs="Times New Roman"/>
          <w:sz w:val="24"/>
          <w:szCs w:val="24"/>
        </w:rPr>
        <w:t>onsideration must move at the promisor’s desire, especially for the Indian law. The benefit for the consideration may target the third party but should not at any time move at the third party’s desire. Primarily, the promise action and the promisor desire must be aligned for the consideration to be legal.</w:t>
      </w:r>
    </w:p>
    <w:p w:rsidR="0057653A" w:rsidRPr="00726ECD" w:rsidRDefault="00AB5245" w:rsidP="00726ECD">
      <w:pPr>
        <w:spacing w:line="480" w:lineRule="auto"/>
        <w:ind w:firstLine="720"/>
        <w:rPr>
          <w:rFonts w:ascii="Times New Roman" w:hAnsi="Times New Roman" w:cs="Times New Roman"/>
          <w:sz w:val="24"/>
          <w:szCs w:val="24"/>
        </w:rPr>
      </w:pPr>
      <w:r w:rsidRPr="00726ECD">
        <w:rPr>
          <w:rFonts w:ascii="Times New Roman" w:hAnsi="Times New Roman" w:cs="Times New Roman"/>
          <w:sz w:val="24"/>
          <w:szCs w:val="24"/>
        </w:rPr>
        <w:lastRenderedPageBreak/>
        <w:t>According to Indian law, consideration may move in front of a third party or other persons. This condition implies that a third party may move the consideration if there is no objection from the promisor.</w:t>
      </w:r>
    </w:p>
    <w:p w:rsidR="0057653A" w:rsidRPr="00726ECD" w:rsidRDefault="00AB5245" w:rsidP="00726ECD">
      <w:pPr>
        <w:spacing w:line="480" w:lineRule="auto"/>
        <w:ind w:firstLine="720"/>
        <w:jc w:val="center"/>
        <w:rPr>
          <w:rFonts w:ascii="Times New Roman" w:hAnsi="Times New Roman" w:cs="Times New Roman"/>
          <w:b/>
          <w:bCs/>
          <w:sz w:val="24"/>
          <w:szCs w:val="24"/>
        </w:rPr>
      </w:pPr>
      <w:r w:rsidRPr="00726ECD">
        <w:rPr>
          <w:rFonts w:ascii="Times New Roman" w:hAnsi="Times New Roman" w:cs="Times New Roman"/>
          <w:b/>
          <w:bCs/>
          <w:sz w:val="24"/>
          <w:szCs w:val="24"/>
        </w:rPr>
        <w:t>Question 1 (b)</w:t>
      </w:r>
    </w:p>
    <w:p w:rsidR="0030394A" w:rsidRPr="00726ECD" w:rsidRDefault="00AB5245" w:rsidP="00726ECD">
      <w:pPr>
        <w:spacing w:line="480" w:lineRule="auto"/>
        <w:ind w:firstLine="720"/>
        <w:rPr>
          <w:rFonts w:ascii="Times New Roman" w:hAnsi="Times New Roman" w:cs="Times New Roman"/>
          <w:sz w:val="24"/>
          <w:szCs w:val="24"/>
        </w:rPr>
      </w:pPr>
      <w:r w:rsidRPr="00726ECD">
        <w:rPr>
          <w:rFonts w:ascii="Times New Roman" w:hAnsi="Times New Roman" w:cs="Times New Roman"/>
          <w:sz w:val="24"/>
          <w:szCs w:val="24"/>
        </w:rPr>
        <w:t xml:space="preserve">I believe that Donald is contractually bound to Hilary for various reasons. First, Donald's advertisement was put in writing, making it a past consideration. This implies that Hilary's response to this advertisement first makes her the legal buyer for the car. </w:t>
      </w:r>
      <w:r w:rsidR="003A29C9" w:rsidRPr="00726ECD">
        <w:rPr>
          <w:rFonts w:ascii="Times New Roman" w:hAnsi="Times New Roman" w:cs="Times New Roman"/>
          <w:sz w:val="24"/>
          <w:szCs w:val="24"/>
        </w:rPr>
        <w:t xml:space="preserve">Donald would be required by the law of contract to abide by the terms of the advertisement provided Hilary decides to pursue the legal solution. In lieu of the rules of consideration in contract law, the court would consider Hilary, a victim of law violation and rule in her favor. Although Donald makes another promise to Mike, his friend, </w:t>
      </w:r>
      <w:r w:rsidR="00F76AA9" w:rsidRPr="00726ECD">
        <w:rPr>
          <w:rFonts w:ascii="Times New Roman" w:hAnsi="Times New Roman" w:cs="Times New Roman"/>
          <w:sz w:val="24"/>
          <w:szCs w:val="24"/>
        </w:rPr>
        <w:t>who</w:t>
      </w:r>
      <w:r w:rsidR="003A29C9" w:rsidRPr="00726ECD">
        <w:rPr>
          <w:rFonts w:ascii="Times New Roman" w:hAnsi="Times New Roman" w:cs="Times New Roman"/>
          <w:sz w:val="24"/>
          <w:szCs w:val="24"/>
        </w:rPr>
        <w:t xml:space="preserve"> may be regarded as present consideration, the court would still honor Hilary's claim. This would be dictated by the rules governing consideration which stipulates that a past consideration may be as good as a present or future consideration.</w:t>
      </w:r>
    </w:p>
    <w:p w:rsidR="003A29C9" w:rsidRPr="00726ECD" w:rsidRDefault="00AB5245" w:rsidP="00726ECD">
      <w:pPr>
        <w:spacing w:line="480" w:lineRule="auto"/>
        <w:ind w:firstLine="720"/>
        <w:rPr>
          <w:rFonts w:ascii="Times New Roman" w:hAnsi="Times New Roman" w:cs="Times New Roman"/>
          <w:sz w:val="24"/>
          <w:szCs w:val="24"/>
        </w:rPr>
      </w:pPr>
      <w:r w:rsidRPr="00726ECD">
        <w:rPr>
          <w:rFonts w:ascii="Times New Roman" w:hAnsi="Times New Roman" w:cs="Times New Roman"/>
          <w:sz w:val="24"/>
          <w:szCs w:val="24"/>
        </w:rPr>
        <w:t>In Jackie's case, Donald would not be contractually bound for t</w:t>
      </w:r>
      <w:r w:rsidR="00E82C02" w:rsidRPr="00726ECD">
        <w:rPr>
          <w:rFonts w:ascii="Times New Roman" w:hAnsi="Times New Roman" w:cs="Times New Roman"/>
          <w:sz w:val="24"/>
          <w:szCs w:val="24"/>
        </w:rPr>
        <w:t>hree</w:t>
      </w:r>
      <w:r w:rsidRPr="00726ECD">
        <w:rPr>
          <w:rFonts w:ascii="Times New Roman" w:hAnsi="Times New Roman" w:cs="Times New Roman"/>
          <w:sz w:val="24"/>
          <w:szCs w:val="24"/>
        </w:rPr>
        <w:t xml:space="preserve"> reasons. First, Jackie was not the first individual to put in writing that she wished to buy the car for the advertised price since she sent her request on Monday, a day after Hilary sent her request. Second, Jackie did not use the email account stipulated in the advertisement to communicate her request to the seller implying that Donald could easily win any case based on violations of business engagement rules. Third, the email that Jackie used to sent her purchase request was no longer active. Therefore, the court could not rule in her favor under any circumstance because the promisor would be wholly protected by the fact that he never had a chance to review Jackie's response.</w:t>
      </w:r>
    </w:p>
    <w:p w:rsidR="00E75A49" w:rsidRPr="00726ECD" w:rsidRDefault="00AB5245" w:rsidP="00726ECD">
      <w:pPr>
        <w:spacing w:line="480" w:lineRule="auto"/>
        <w:ind w:firstLine="720"/>
        <w:rPr>
          <w:rFonts w:ascii="Times New Roman" w:hAnsi="Times New Roman" w:cs="Times New Roman"/>
          <w:sz w:val="24"/>
          <w:szCs w:val="24"/>
        </w:rPr>
      </w:pPr>
      <w:r w:rsidRPr="00726ECD">
        <w:rPr>
          <w:rFonts w:ascii="Times New Roman" w:hAnsi="Times New Roman" w:cs="Times New Roman"/>
          <w:sz w:val="24"/>
          <w:szCs w:val="24"/>
        </w:rPr>
        <w:lastRenderedPageBreak/>
        <w:t xml:space="preserve">On the other hand, Donald would be contractually bound to Mike based on present consideration. Mike may use Donald's </w:t>
      </w:r>
      <w:r w:rsidR="00E82C02" w:rsidRPr="00726ECD">
        <w:rPr>
          <w:rFonts w:ascii="Times New Roman" w:hAnsi="Times New Roman" w:cs="Times New Roman"/>
          <w:sz w:val="24"/>
          <w:szCs w:val="24"/>
        </w:rPr>
        <w:t>promise against him in court and make a successful case for one primary reason that the terms of the past consideration do not bind him. The reason is that Mike falls under a stranger category in the first contract because he does not know Jackie's or Hilary's requests to purchase Donald's car. Second, the consideration made by Donald to Mike is different from the previous consideration, with clearly different prices set for the vehicle. Therefore, this promise to Mike could serve as a consideration independently that is enforceable under the contract law.</w:t>
      </w:r>
    </w:p>
    <w:p w:rsidR="00E82C02" w:rsidRPr="00726ECD" w:rsidRDefault="00AB5245" w:rsidP="00726ECD">
      <w:pPr>
        <w:spacing w:line="480" w:lineRule="auto"/>
        <w:ind w:firstLine="720"/>
        <w:jc w:val="center"/>
        <w:rPr>
          <w:rFonts w:ascii="Times New Roman" w:hAnsi="Times New Roman" w:cs="Times New Roman"/>
          <w:b/>
          <w:bCs/>
          <w:sz w:val="24"/>
          <w:szCs w:val="24"/>
        </w:rPr>
      </w:pPr>
      <w:r w:rsidRPr="00726ECD">
        <w:rPr>
          <w:rFonts w:ascii="Times New Roman" w:hAnsi="Times New Roman" w:cs="Times New Roman"/>
          <w:b/>
          <w:bCs/>
          <w:sz w:val="24"/>
          <w:szCs w:val="24"/>
        </w:rPr>
        <w:t xml:space="preserve">Question </w:t>
      </w:r>
      <w:r w:rsidR="00BD41AD" w:rsidRPr="00726ECD">
        <w:rPr>
          <w:rFonts w:ascii="Times New Roman" w:hAnsi="Times New Roman" w:cs="Times New Roman"/>
          <w:b/>
          <w:bCs/>
          <w:sz w:val="24"/>
          <w:szCs w:val="24"/>
        </w:rPr>
        <w:t>3 (a)</w:t>
      </w:r>
    </w:p>
    <w:p w:rsidR="00BD41AD" w:rsidRPr="00726ECD" w:rsidRDefault="00AB5245" w:rsidP="00726ECD">
      <w:pPr>
        <w:spacing w:line="480" w:lineRule="auto"/>
        <w:ind w:firstLine="720"/>
        <w:rPr>
          <w:rFonts w:ascii="Times New Roman" w:hAnsi="Times New Roman" w:cs="Times New Roman"/>
          <w:sz w:val="24"/>
          <w:szCs w:val="24"/>
        </w:rPr>
      </w:pPr>
      <w:r w:rsidRPr="00726ECD">
        <w:rPr>
          <w:rFonts w:ascii="Times New Roman" w:hAnsi="Times New Roman" w:cs="Times New Roman"/>
          <w:sz w:val="24"/>
          <w:szCs w:val="24"/>
        </w:rPr>
        <w:t>Various business structures exist in Ireland. First, the country introduced the private limited company by share in 2014after changing the companies a</w:t>
      </w:r>
      <w:r w:rsidR="00221831" w:rsidRPr="00726ECD">
        <w:rPr>
          <w:rFonts w:ascii="Times New Roman" w:hAnsi="Times New Roman" w:cs="Times New Roman"/>
          <w:sz w:val="24"/>
          <w:szCs w:val="24"/>
        </w:rPr>
        <w:t>c</w:t>
      </w:r>
      <w:r w:rsidRPr="00726ECD">
        <w:rPr>
          <w:rFonts w:ascii="Times New Roman" w:hAnsi="Times New Roman" w:cs="Times New Roman"/>
          <w:sz w:val="24"/>
          <w:szCs w:val="24"/>
        </w:rPr>
        <w:t>t</w:t>
      </w:r>
      <w:r w:rsidR="00221831" w:rsidRPr="00726ECD">
        <w:rPr>
          <w:rFonts w:ascii="Times New Roman" w:hAnsi="Times New Roman" w:cs="Times New Roman"/>
          <w:sz w:val="24"/>
          <w:szCs w:val="24"/>
        </w:rPr>
        <w:t xml:space="preserve"> (</w:t>
      </w:r>
      <w:r w:rsidR="00221831" w:rsidRPr="00726ECD">
        <w:rPr>
          <w:rFonts w:ascii="Times New Roman" w:hAnsi="Times New Roman" w:cs="Times New Roman"/>
          <w:color w:val="222222"/>
          <w:sz w:val="24"/>
          <w:szCs w:val="24"/>
          <w:shd w:val="clear" w:color="auto" w:fill="FFFFFF"/>
        </w:rPr>
        <w:t>O’Sullivan et al., 202)</w:t>
      </w:r>
      <w:r w:rsidRPr="00726ECD">
        <w:rPr>
          <w:rFonts w:ascii="Times New Roman" w:hAnsi="Times New Roman" w:cs="Times New Roman"/>
          <w:sz w:val="24"/>
          <w:szCs w:val="24"/>
        </w:rPr>
        <w:t>. This structure replaces the previous limited liability company and is the most adopted business framework for commercial arrangements and personal affairs. The structure has a simple constitution rather than the articles and memorandum of associations</w:t>
      </w:r>
      <w:r w:rsidR="00CB0BBF" w:rsidRPr="00726ECD">
        <w:rPr>
          <w:rFonts w:ascii="Times New Roman" w:hAnsi="Times New Roman" w:cs="Times New Roman"/>
          <w:sz w:val="24"/>
          <w:szCs w:val="24"/>
        </w:rPr>
        <w:t>, and the company is a separate legal entity.</w:t>
      </w:r>
    </w:p>
    <w:p w:rsidR="00CB0BBF" w:rsidRPr="00726ECD" w:rsidRDefault="00AB5245" w:rsidP="00726ECD">
      <w:pPr>
        <w:spacing w:line="480" w:lineRule="auto"/>
        <w:ind w:firstLine="720"/>
        <w:rPr>
          <w:rFonts w:ascii="Times New Roman" w:hAnsi="Times New Roman" w:cs="Times New Roman"/>
          <w:sz w:val="24"/>
          <w:szCs w:val="24"/>
        </w:rPr>
      </w:pPr>
      <w:r w:rsidRPr="00726ECD">
        <w:rPr>
          <w:rFonts w:ascii="Times New Roman" w:hAnsi="Times New Roman" w:cs="Times New Roman"/>
          <w:sz w:val="24"/>
          <w:szCs w:val="24"/>
        </w:rPr>
        <w:t>Designated activity company</w:t>
      </w:r>
      <w:r w:rsidR="00701A03" w:rsidRPr="00726ECD">
        <w:rPr>
          <w:rFonts w:ascii="Times New Roman" w:hAnsi="Times New Roman" w:cs="Times New Roman"/>
          <w:sz w:val="24"/>
          <w:szCs w:val="24"/>
        </w:rPr>
        <w:t xml:space="preserve"> (DAC)</w:t>
      </w:r>
      <w:r w:rsidRPr="00726ECD">
        <w:rPr>
          <w:rFonts w:ascii="Times New Roman" w:hAnsi="Times New Roman" w:cs="Times New Roman"/>
          <w:sz w:val="24"/>
          <w:szCs w:val="24"/>
        </w:rPr>
        <w:t xml:space="preserve">, a new structure under the Companies Act 2014, is of two types: a private company limited by shares and a private company limited by guarantee possessing a share capital. They have a constitution that comprises articles and a memorandum of association. A minimum of two directors and limited company activities describe the structure. The end of the name must be </w:t>
      </w:r>
      <w:r w:rsidR="00701A03" w:rsidRPr="00726ECD">
        <w:rPr>
          <w:rFonts w:ascii="Times New Roman" w:hAnsi="Times New Roman" w:cs="Times New Roman"/>
          <w:sz w:val="24"/>
          <w:szCs w:val="24"/>
        </w:rPr>
        <w:t>DAC or Cuideachta Ghniomhaiochta Ainmnithe (CGA).</w:t>
      </w:r>
    </w:p>
    <w:p w:rsidR="0030394A" w:rsidRPr="00726ECD" w:rsidRDefault="00AB5245" w:rsidP="00726ECD">
      <w:pPr>
        <w:spacing w:line="480" w:lineRule="auto"/>
        <w:ind w:firstLine="720"/>
        <w:rPr>
          <w:rFonts w:ascii="Times New Roman" w:hAnsi="Times New Roman" w:cs="Times New Roman"/>
          <w:sz w:val="24"/>
          <w:szCs w:val="24"/>
        </w:rPr>
      </w:pPr>
      <w:r w:rsidRPr="00726ECD">
        <w:rPr>
          <w:rFonts w:ascii="Times New Roman" w:hAnsi="Times New Roman" w:cs="Times New Roman"/>
          <w:sz w:val="24"/>
          <w:szCs w:val="24"/>
        </w:rPr>
        <w:t>Company limited by Guarantee (CLG): It may have a minimum requirement of one member and does not have a share capital</w:t>
      </w:r>
      <w:r w:rsidR="00221831" w:rsidRPr="00726ECD">
        <w:rPr>
          <w:rFonts w:ascii="Times New Roman" w:hAnsi="Times New Roman" w:cs="Times New Roman"/>
          <w:sz w:val="24"/>
          <w:szCs w:val="24"/>
        </w:rPr>
        <w:t xml:space="preserve"> (</w:t>
      </w:r>
      <w:r w:rsidR="00221831" w:rsidRPr="00726ECD">
        <w:rPr>
          <w:rFonts w:ascii="Times New Roman" w:hAnsi="Times New Roman" w:cs="Times New Roman"/>
          <w:color w:val="222222"/>
          <w:sz w:val="24"/>
          <w:szCs w:val="24"/>
          <w:shd w:val="clear" w:color="auto" w:fill="FFFFFF"/>
        </w:rPr>
        <w:t>O’Sullivan et al., 2020)</w:t>
      </w:r>
      <w:r w:rsidRPr="00726ECD">
        <w:rPr>
          <w:rFonts w:ascii="Times New Roman" w:hAnsi="Times New Roman" w:cs="Times New Roman"/>
          <w:sz w:val="24"/>
          <w:szCs w:val="24"/>
        </w:rPr>
        <w:t xml:space="preserve">. A member’s liability is only </w:t>
      </w:r>
      <w:r w:rsidRPr="00726ECD">
        <w:rPr>
          <w:rFonts w:ascii="Times New Roman" w:hAnsi="Times New Roman" w:cs="Times New Roman"/>
          <w:sz w:val="24"/>
          <w:szCs w:val="24"/>
        </w:rPr>
        <w:lastRenderedPageBreak/>
        <w:t>determined by the money they channel to the firm. Again, a member is not required to buy the firm's shares, and the structure is mainly used by sports clubs, trade associations, and charity companies. The name must end with CLG or CTR (Cuideachta faoi Theorainn Ratha</w:t>
      </w:r>
      <w:r w:rsidR="00F14D8A" w:rsidRPr="00726ECD">
        <w:rPr>
          <w:rFonts w:ascii="Times New Roman" w:hAnsi="Times New Roman" w:cs="Times New Roman"/>
          <w:sz w:val="24"/>
          <w:szCs w:val="24"/>
        </w:rPr>
        <w:t>iochta). It requires a minimum of two directors and undertakes limited activities as specified by the memorandum of association (MOU).</w:t>
      </w:r>
    </w:p>
    <w:p w:rsidR="00F14D8A" w:rsidRPr="00726ECD" w:rsidRDefault="00AB5245" w:rsidP="00726ECD">
      <w:pPr>
        <w:spacing w:line="480" w:lineRule="auto"/>
        <w:ind w:firstLine="720"/>
        <w:rPr>
          <w:rFonts w:ascii="Times New Roman" w:hAnsi="Times New Roman" w:cs="Times New Roman"/>
          <w:sz w:val="24"/>
          <w:szCs w:val="24"/>
        </w:rPr>
      </w:pPr>
      <w:r w:rsidRPr="00726ECD">
        <w:rPr>
          <w:rFonts w:ascii="Times New Roman" w:hAnsi="Times New Roman" w:cs="Times New Roman"/>
          <w:sz w:val="24"/>
          <w:szCs w:val="24"/>
        </w:rPr>
        <w:t>A public limited company (PLC) has unlimited members, and its shares are offered to the public. Members' liability is determined by the amount unpaid on shares. The company has a constitution with articles and MOU and cannot be exempted from audit. A minimum of two directors and annual general meetings are requirements for a PLC.</w:t>
      </w:r>
    </w:p>
    <w:p w:rsidR="00F14D8A" w:rsidRPr="00726ECD" w:rsidRDefault="00AB5245" w:rsidP="00726ECD">
      <w:pPr>
        <w:spacing w:line="480" w:lineRule="auto"/>
        <w:ind w:firstLine="720"/>
        <w:jc w:val="center"/>
        <w:rPr>
          <w:rFonts w:ascii="Times New Roman" w:hAnsi="Times New Roman" w:cs="Times New Roman"/>
          <w:b/>
          <w:bCs/>
          <w:sz w:val="24"/>
          <w:szCs w:val="24"/>
        </w:rPr>
      </w:pPr>
      <w:r w:rsidRPr="00726ECD">
        <w:rPr>
          <w:rFonts w:ascii="Times New Roman" w:hAnsi="Times New Roman" w:cs="Times New Roman"/>
          <w:b/>
          <w:bCs/>
          <w:sz w:val="24"/>
          <w:szCs w:val="24"/>
        </w:rPr>
        <w:t>Question 3 (b)</w:t>
      </w:r>
    </w:p>
    <w:p w:rsidR="009D7C62" w:rsidRPr="00726ECD" w:rsidRDefault="00AB5245" w:rsidP="00726ECD">
      <w:pPr>
        <w:spacing w:line="480" w:lineRule="auto"/>
        <w:ind w:firstLine="720"/>
        <w:rPr>
          <w:rFonts w:ascii="Times New Roman" w:hAnsi="Times New Roman" w:cs="Times New Roman"/>
          <w:sz w:val="24"/>
          <w:szCs w:val="24"/>
        </w:rPr>
      </w:pPr>
      <w:r w:rsidRPr="00726ECD">
        <w:rPr>
          <w:rFonts w:ascii="Times New Roman" w:hAnsi="Times New Roman" w:cs="Times New Roman"/>
          <w:sz w:val="24"/>
          <w:szCs w:val="24"/>
        </w:rPr>
        <w:t>The advantages of a private limited company are the ease of control retention, the ability to raise money, and limited liability. Its disadvantages include prohibited issuance of shares to the public, restricted transfer of shares by its articles, maximum shareholders at 5o, and inability to be quoted in the stock exchange market.</w:t>
      </w:r>
    </w:p>
    <w:p w:rsidR="009D7C62" w:rsidRPr="00726ECD" w:rsidRDefault="00AB5245" w:rsidP="00726ECD">
      <w:pPr>
        <w:spacing w:line="480" w:lineRule="auto"/>
        <w:ind w:firstLine="720"/>
        <w:rPr>
          <w:rFonts w:ascii="Times New Roman" w:hAnsi="Times New Roman" w:cs="Times New Roman"/>
          <w:sz w:val="24"/>
          <w:szCs w:val="24"/>
        </w:rPr>
      </w:pPr>
      <w:r w:rsidRPr="00726ECD">
        <w:rPr>
          <w:rFonts w:ascii="Times New Roman" w:hAnsi="Times New Roman" w:cs="Times New Roman"/>
          <w:sz w:val="24"/>
          <w:szCs w:val="24"/>
        </w:rPr>
        <w:t>A DAC is disadvantageous for various reasons. It has a minimum of two directors, maximum of 149 members, and an AGM is a must if the company has two or more members</w:t>
      </w:r>
      <w:r w:rsidR="00221831" w:rsidRPr="00726ECD">
        <w:rPr>
          <w:rFonts w:ascii="Times New Roman" w:hAnsi="Times New Roman" w:cs="Times New Roman"/>
          <w:sz w:val="24"/>
          <w:szCs w:val="24"/>
        </w:rPr>
        <w:t xml:space="preserve"> (</w:t>
      </w:r>
      <w:r w:rsidR="00221831" w:rsidRPr="00726ECD">
        <w:rPr>
          <w:rFonts w:ascii="Times New Roman" w:hAnsi="Times New Roman" w:cs="Times New Roman"/>
          <w:color w:val="222222"/>
          <w:sz w:val="24"/>
          <w:szCs w:val="24"/>
          <w:shd w:val="clear" w:color="auto" w:fill="FFFFFF"/>
        </w:rPr>
        <w:t>Kirwan &amp; Pierce, 2017)</w:t>
      </w:r>
      <w:r w:rsidRPr="00726ECD">
        <w:rPr>
          <w:rFonts w:ascii="Times New Roman" w:hAnsi="Times New Roman" w:cs="Times New Roman"/>
          <w:sz w:val="24"/>
          <w:szCs w:val="24"/>
        </w:rPr>
        <w:t>. Its advantages include limited liability, allows members to restrict the company ventures.</w:t>
      </w:r>
    </w:p>
    <w:p w:rsidR="00333550" w:rsidRPr="00726ECD" w:rsidRDefault="00AB5245" w:rsidP="00726ECD">
      <w:pPr>
        <w:spacing w:line="480" w:lineRule="auto"/>
        <w:ind w:firstLine="720"/>
        <w:rPr>
          <w:rFonts w:ascii="Times New Roman" w:hAnsi="Times New Roman" w:cs="Times New Roman"/>
          <w:sz w:val="24"/>
          <w:szCs w:val="24"/>
        </w:rPr>
      </w:pPr>
      <w:r w:rsidRPr="00726ECD">
        <w:rPr>
          <w:rFonts w:ascii="Times New Roman" w:hAnsi="Times New Roman" w:cs="Times New Roman"/>
          <w:sz w:val="24"/>
          <w:szCs w:val="24"/>
        </w:rPr>
        <w:t>Companies limited by guarantee are separate entities from the members, members are extensively safeguarded against the firm liability, and they can purchase and sell property in the company's name. The disadvantages include costs incurred to set the company and administer it, ongoing filing requirements, and difficulties in tracking members the company cannot contact.</w:t>
      </w:r>
    </w:p>
    <w:p w:rsidR="00AA10B8" w:rsidRPr="00726ECD" w:rsidRDefault="00AB5245" w:rsidP="00726ECD">
      <w:pPr>
        <w:spacing w:line="480" w:lineRule="auto"/>
        <w:ind w:firstLine="720"/>
        <w:rPr>
          <w:rFonts w:ascii="Times New Roman" w:hAnsi="Times New Roman" w:cs="Times New Roman"/>
          <w:sz w:val="24"/>
          <w:szCs w:val="24"/>
        </w:rPr>
      </w:pPr>
      <w:r w:rsidRPr="00726ECD">
        <w:rPr>
          <w:rFonts w:ascii="Times New Roman" w:hAnsi="Times New Roman" w:cs="Times New Roman"/>
          <w:sz w:val="24"/>
          <w:szCs w:val="24"/>
        </w:rPr>
        <w:lastRenderedPageBreak/>
        <w:t xml:space="preserve">A PLC can raise capital through the issuance of </w:t>
      </w:r>
      <w:r w:rsidR="00F76AA9">
        <w:rPr>
          <w:rFonts w:ascii="Times New Roman" w:hAnsi="Times New Roman" w:cs="Times New Roman"/>
          <w:sz w:val="24"/>
          <w:szCs w:val="24"/>
        </w:rPr>
        <w:t>s</w:t>
      </w:r>
      <w:r w:rsidRPr="00726ECD">
        <w:rPr>
          <w:rFonts w:ascii="Times New Roman" w:hAnsi="Times New Roman" w:cs="Times New Roman"/>
          <w:sz w:val="24"/>
          <w:szCs w:val="24"/>
        </w:rPr>
        <w:t>hares to the public, has a lower risk due to many shareholders, possesses many growth opportunities, instills confidence among shareholders, and has the easy transfer of shares</w:t>
      </w:r>
      <w:r w:rsidR="00221831" w:rsidRPr="00726ECD">
        <w:rPr>
          <w:rFonts w:ascii="Times New Roman" w:hAnsi="Times New Roman" w:cs="Times New Roman"/>
          <w:sz w:val="24"/>
          <w:szCs w:val="24"/>
        </w:rPr>
        <w:t xml:space="preserve"> (</w:t>
      </w:r>
      <w:r w:rsidR="00221831" w:rsidRPr="00726ECD">
        <w:rPr>
          <w:rFonts w:ascii="Times New Roman" w:hAnsi="Times New Roman" w:cs="Times New Roman"/>
          <w:color w:val="222222"/>
          <w:sz w:val="24"/>
          <w:szCs w:val="24"/>
          <w:shd w:val="clear" w:color="auto" w:fill="FFFFFF"/>
        </w:rPr>
        <w:t>Kirwan &amp; Pierce, 2017)</w:t>
      </w:r>
      <w:r w:rsidRPr="00726ECD">
        <w:rPr>
          <w:rFonts w:ascii="Times New Roman" w:hAnsi="Times New Roman" w:cs="Times New Roman"/>
          <w:sz w:val="24"/>
          <w:szCs w:val="24"/>
        </w:rPr>
        <w:t xml:space="preserve">. However, PLCs are exposed to more regulatory &amp; transparency requirements, </w:t>
      </w:r>
      <w:r w:rsidR="00D02E0B" w:rsidRPr="00726ECD">
        <w:rPr>
          <w:rFonts w:ascii="Times New Roman" w:hAnsi="Times New Roman" w:cs="Times New Roman"/>
          <w:sz w:val="24"/>
          <w:szCs w:val="24"/>
        </w:rPr>
        <w:t>are more prone to takeovers, require a high initial financial commitment, and are affected by short-termism.</w:t>
      </w:r>
    </w:p>
    <w:p w:rsidR="00D02E0B" w:rsidRPr="00726ECD" w:rsidRDefault="00AB5245" w:rsidP="00726ECD">
      <w:pPr>
        <w:spacing w:line="480" w:lineRule="auto"/>
        <w:ind w:firstLine="720"/>
        <w:jc w:val="center"/>
        <w:rPr>
          <w:rFonts w:ascii="Times New Roman" w:hAnsi="Times New Roman" w:cs="Times New Roman"/>
          <w:sz w:val="24"/>
          <w:szCs w:val="24"/>
        </w:rPr>
      </w:pPr>
      <w:r w:rsidRPr="00726ECD">
        <w:rPr>
          <w:rFonts w:ascii="Times New Roman" w:hAnsi="Times New Roman" w:cs="Times New Roman"/>
          <w:b/>
          <w:bCs/>
          <w:sz w:val="24"/>
          <w:szCs w:val="24"/>
        </w:rPr>
        <w:t>Question 3 (c</w:t>
      </w:r>
      <w:r w:rsidRPr="00726ECD">
        <w:rPr>
          <w:rFonts w:ascii="Times New Roman" w:hAnsi="Times New Roman" w:cs="Times New Roman"/>
          <w:sz w:val="24"/>
          <w:szCs w:val="24"/>
        </w:rPr>
        <w:t>)</w:t>
      </w:r>
    </w:p>
    <w:p w:rsidR="00D02E0B" w:rsidRPr="00726ECD" w:rsidRDefault="00AB5245" w:rsidP="00726ECD">
      <w:pPr>
        <w:spacing w:line="480" w:lineRule="auto"/>
        <w:ind w:firstLine="720"/>
        <w:rPr>
          <w:rFonts w:ascii="Times New Roman" w:hAnsi="Times New Roman" w:cs="Times New Roman"/>
          <w:sz w:val="24"/>
          <w:szCs w:val="24"/>
        </w:rPr>
      </w:pPr>
      <w:r w:rsidRPr="00726ECD">
        <w:rPr>
          <w:rFonts w:ascii="Times New Roman" w:hAnsi="Times New Roman" w:cs="Times New Roman"/>
          <w:sz w:val="24"/>
          <w:szCs w:val="24"/>
        </w:rPr>
        <w:t>To start a company in Ireland, one must fulfill the following requirements: set a company name, specify the company type, create a constitution, publish a registered office, satisfy the required number of directors for the specific type of company, have the minimum required number of shareholders, recruit a company secretary, and set the authorized and issued share capital</w:t>
      </w:r>
      <w:r w:rsidR="0020042F" w:rsidRPr="00726ECD">
        <w:rPr>
          <w:rFonts w:ascii="Times New Roman" w:hAnsi="Times New Roman" w:cs="Times New Roman"/>
          <w:sz w:val="24"/>
          <w:szCs w:val="24"/>
        </w:rPr>
        <w:t xml:space="preserve"> (</w:t>
      </w:r>
      <w:r w:rsidR="0020042F" w:rsidRPr="00726ECD">
        <w:rPr>
          <w:rFonts w:ascii="Times New Roman" w:hAnsi="Times New Roman" w:cs="Times New Roman"/>
          <w:color w:val="222222"/>
          <w:sz w:val="24"/>
          <w:szCs w:val="24"/>
          <w:shd w:val="clear" w:color="auto" w:fill="FFFFFF"/>
        </w:rPr>
        <w:t>Kirwan &amp; Pierce, 2017)</w:t>
      </w:r>
      <w:r w:rsidRPr="00726ECD">
        <w:rPr>
          <w:rFonts w:ascii="Times New Roman" w:hAnsi="Times New Roman" w:cs="Times New Roman"/>
          <w:sz w:val="24"/>
          <w:szCs w:val="24"/>
        </w:rPr>
        <w:t xml:space="preserve">. Authorized shares represent the shares that the firm can issue in its lifetime. Issued shares are the </w:t>
      </w:r>
      <w:r w:rsidR="00F77A99" w:rsidRPr="00726ECD">
        <w:rPr>
          <w:rFonts w:ascii="Times New Roman" w:hAnsi="Times New Roman" w:cs="Times New Roman"/>
          <w:sz w:val="24"/>
          <w:szCs w:val="24"/>
        </w:rPr>
        <w:t>allocated and paid for shares by shareholders. The number of these shares change from one structure to another.</w:t>
      </w:r>
    </w:p>
    <w:p w:rsidR="00F77A99" w:rsidRPr="00726ECD" w:rsidRDefault="00AB5245" w:rsidP="00726ECD">
      <w:pPr>
        <w:spacing w:line="480" w:lineRule="auto"/>
        <w:ind w:firstLine="720"/>
        <w:jc w:val="center"/>
        <w:rPr>
          <w:rFonts w:ascii="Times New Roman" w:hAnsi="Times New Roman" w:cs="Times New Roman"/>
          <w:b/>
          <w:bCs/>
          <w:sz w:val="24"/>
          <w:szCs w:val="24"/>
        </w:rPr>
      </w:pPr>
      <w:r w:rsidRPr="00726ECD">
        <w:rPr>
          <w:rFonts w:ascii="Times New Roman" w:hAnsi="Times New Roman" w:cs="Times New Roman"/>
          <w:b/>
          <w:bCs/>
          <w:sz w:val="24"/>
          <w:szCs w:val="24"/>
        </w:rPr>
        <w:t>Question 3 (d)</w:t>
      </w:r>
    </w:p>
    <w:p w:rsidR="00F77A99" w:rsidRPr="00726ECD" w:rsidRDefault="00AB5245" w:rsidP="00726ECD">
      <w:pPr>
        <w:spacing w:line="480" w:lineRule="auto"/>
        <w:ind w:firstLine="720"/>
        <w:rPr>
          <w:rFonts w:ascii="Times New Roman" w:hAnsi="Times New Roman" w:cs="Times New Roman"/>
          <w:sz w:val="24"/>
          <w:szCs w:val="24"/>
        </w:rPr>
      </w:pPr>
      <w:r w:rsidRPr="00726ECD">
        <w:rPr>
          <w:rFonts w:ascii="Times New Roman" w:hAnsi="Times New Roman" w:cs="Times New Roman"/>
          <w:sz w:val="24"/>
          <w:szCs w:val="24"/>
        </w:rPr>
        <w:t xml:space="preserve">The high court of Ireland possesses immeasurable monetary jurisdiction and represents the main form for large commercial dispute resolutions. For the court to enforce a claim, the </w:t>
      </w:r>
      <w:r w:rsidR="006200DB" w:rsidRPr="00726ECD">
        <w:rPr>
          <w:rFonts w:ascii="Times New Roman" w:hAnsi="Times New Roman" w:cs="Times New Roman"/>
          <w:sz w:val="24"/>
          <w:szCs w:val="24"/>
        </w:rPr>
        <w:t>claimant</w:t>
      </w:r>
      <w:r w:rsidRPr="00726ECD">
        <w:rPr>
          <w:rFonts w:ascii="Times New Roman" w:hAnsi="Times New Roman" w:cs="Times New Roman"/>
          <w:sz w:val="24"/>
          <w:szCs w:val="24"/>
        </w:rPr>
        <w:t xml:space="preserve"> must prove their case on probabilities balance. The court, which </w:t>
      </w:r>
      <w:r w:rsidR="006200DB" w:rsidRPr="00726ECD">
        <w:rPr>
          <w:rFonts w:ascii="Times New Roman" w:hAnsi="Times New Roman" w:cs="Times New Roman"/>
          <w:sz w:val="24"/>
          <w:szCs w:val="24"/>
        </w:rPr>
        <w:t>follows</w:t>
      </w:r>
      <w:r w:rsidRPr="00726ECD">
        <w:rPr>
          <w:rFonts w:ascii="Times New Roman" w:hAnsi="Times New Roman" w:cs="Times New Roman"/>
          <w:sz w:val="24"/>
          <w:szCs w:val="24"/>
        </w:rPr>
        <w:t xml:space="preserve"> an adversarial system, </w:t>
      </w:r>
      <w:r w:rsidR="006200DB" w:rsidRPr="00726ECD">
        <w:rPr>
          <w:rFonts w:ascii="Times New Roman" w:hAnsi="Times New Roman" w:cs="Times New Roman"/>
          <w:sz w:val="24"/>
          <w:szCs w:val="24"/>
        </w:rPr>
        <w:t xml:space="preserve">has a special division called the commercial court created in 2004. Again, commercial agreements have a conflict resolution mechanism that allows the parties to seek the help of mediation rather than court litigation. For Bob, who is on the side of receiving threats of litigation, I would advise him to take advantage of the supplier's mistakes to limit the success probability of his claim. In </w:t>
      </w:r>
      <w:r w:rsidR="00104060" w:rsidRPr="00726ECD">
        <w:rPr>
          <w:rFonts w:ascii="Times New Roman" w:hAnsi="Times New Roman" w:cs="Times New Roman"/>
          <w:sz w:val="24"/>
          <w:szCs w:val="24"/>
        </w:rPr>
        <w:t xml:space="preserve">contract law, a contract breach results in a cause of action. The </w:t>
      </w:r>
      <w:r w:rsidR="00104060" w:rsidRPr="00726ECD">
        <w:rPr>
          <w:rFonts w:ascii="Times New Roman" w:hAnsi="Times New Roman" w:cs="Times New Roman"/>
          <w:sz w:val="24"/>
          <w:szCs w:val="24"/>
        </w:rPr>
        <w:lastRenderedPageBreak/>
        <w:t xml:space="preserve">claimant may have the right to monetary compensation, contract termination, or an </w:t>
      </w:r>
      <w:r w:rsidR="00221831" w:rsidRPr="00726ECD">
        <w:rPr>
          <w:rFonts w:ascii="Times New Roman" w:hAnsi="Times New Roman" w:cs="Times New Roman"/>
          <w:sz w:val="24"/>
          <w:szCs w:val="24"/>
        </w:rPr>
        <w:t>injunction</w:t>
      </w:r>
      <w:r w:rsidR="00104060" w:rsidRPr="00726ECD">
        <w:rPr>
          <w:rFonts w:ascii="Times New Roman" w:hAnsi="Times New Roman" w:cs="Times New Roman"/>
          <w:sz w:val="24"/>
          <w:szCs w:val="24"/>
        </w:rPr>
        <w:t xml:space="preserve"> to curb further violations.</w:t>
      </w:r>
    </w:p>
    <w:p w:rsidR="00104060" w:rsidRPr="00726ECD" w:rsidRDefault="00AB5245" w:rsidP="00726ECD">
      <w:pPr>
        <w:spacing w:line="480" w:lineRule="auto"/>
        <w:ind w:firstLine="720"/>
        <w:jc w:val="center"/>
        <w:rPr>
          <w:rFonts w:ascii="Times New Roman" w:hAnsi="Times New Roman" w:cs="Times New Roman"/>
          <w:b/>
          <w:bCs/>
          <w:sz w:val="24"/>
          <w:szCs w:val="24"/>
        </w:rPr>
      </w:pPr>
      <w:r w:rsidRPr="00726ECD">
        <w:rPr>
          <w:rFonts w:ascii="Times New Roman" w:hAnsi="Times New Roman" w:cs="Times New Roman"/>
          <w:b/>
          <w:bCs/>
          <w:sz w:val="24"/>
          <w:szCs w:val="24"/>
        </w:rPr>
        <w:t>Question 3 (e)</w:t>
      </w:r>
    </w:p>
    <w:p w:rsidR="00104060" w:rsidRPr="00726ECD" w:rsidRDefault="00AB5245" w:rsidP="00726ECD">
      <w:pPr>
        <w:spacing w:line="480" w:lineRule="auto"/>
        <w:ind w:firstLine="720"/>
        <w:rPr>
          <w:rFonts w:ascii="Times New Roman" w:hAnsi="Times New Roman" w:cs="Times New Roman"/>
          <w:sz w:val="24"/>
          <w:szCs w:val="24"/>
        </w:rPr>
      </w:pPr>
      <w:r w:rsidRPr="00726ECD">
        <w:rPr>
          <w:rFonts w:ascii="Times New Roman" w:hAnsi="Times New Roman" w:cs="Times New Roman"/>
          <w:sz w:val="24"/>
          <w:szCs w:val="24"/>
        </w:rPr>
        <w:t>For further readings by Bob, I would advise him to utilize the electronic Irish statute book (eISB) to obtain the latest legislation. The eISB comprises acts of the Oireachtas and statutory instruments for full access to the law. There are four primary sources of law in Ireland:  the constitution, legislation, case law, and European Union law.</w:t>
      </w:r>
      <w:r w:rsidR="002909FE" w:rsidRPr="00726ECD">
        <w:rPr>
          <w:rFonts w:ascii="Times New Roman" w:hAnsi="Times New Roman" w:cs="Times New Roman"/>
          <w:sz w:val="24"/>
          <w:szCs w:val="24"/>
        </w:rPr>
        <w:t xml:space="preserve"> Here, the constitution is the primary source, with legislation coming in second. Again, as stated in article 29.4.6 of the constitution, whenever the Irish law conflicts with the European Union law, the EU law prevails. </w:t>
      </w:r>
    </w:p>
    <w:p w:rsidR="002909FE" w:rsidRPr="00726ECD" w:rsidRDefault="00AB5245" w:rsidP="00726ECD">
      <w:pPr>
        <w:spacing w:line="480" w:lineRule="auto"/>
        <w:ind w:firstLine="720"/>
        <w:jc w:val="center"/>
        <w:rPr>
          <w:rFonts w:ascii="Times New Roman" w:hAnsi="Times New Roman" w:cs="Times New Roman"/>
          <w:b/>
          <w:bCs/>
          <w:sz w:val="24"/>
          <w:szCs w:val="24"/>
        </w:rPr>
      </w:pPr>
      <w:r w:rsidRPr="00726ECD">
        <w:rPr>
          <w:rFonts w:ascii="Times New Roman" w:hAnsi="Times New Roman" w:cs="Times New Roman"/>
          <w:b/>
          <w:bCs/>
          <w:sz w:val="24"/>
          <w:szCs w:val="24"/>
        </w:rPr>
        <w:t>Question 4 (a)</w:t>
      </w:r>
    </w:p>
    <w:p w:rsidR="002909FE" w:rsidRPr="00726ECD" w:rsidRDefault="00AB5245" w:rsidP="00726ECD">
      <w:pPr>
        <w:spacing w:line="480" w:lineRule="auto"/>
        <w:ind w:firstLine="720"/>
        <w:rPr>
          <w:rFonts w:ascii="Times New Roman" w:hAnsi="Times New Roman" w:cs="Times New Roman"/>
          <w:sz w:val="24"/>
          <w:szCs w:val="24"/>
        </w:rPr>
      </w:pPr>
      <w:r w:rsidRPr="00726ECD">
        <w:rPr>
          <w:rFonts w:ascii="Times New Roman" w:hAnsi="Times New Roman" w:cs="Times New Roman"/>
          <w:sz w:val="24"/>
          <w:szCs w:val="24"/>
        </w:rPr>
        <w:t xml:space="preserve">Tort law gives businesses an option to defend against loss due to unlawful acts of others that limit the company's operational capability </w:t>
      </w:r>
      <w:r w:rsidR="0020042F" w:rsidRPr="00726ECD">
        <w:rPr>
          <w:rFonts w:ascii="Times New Roman" w:hAnsi="Times New Roman" w:cs="Times New Roman"/>
          <w:sz w:val="24"/>
          <w:szCs w:val="24"/>
        </w:rPr>
        <w:t>(</w:t>
      </w:r>
      <w:r w:rsidR="0020042F" w:rsidRPr="00726ECD">
        <w:rPr>
          <w:rFonts w:ascii="Times New Roman" w:hAnsi="Times New Roman" w:cs="Times New Roman"/>
          <w:color w:val="222222"/>
          <w:sz w:val="24"/>
          <w:szCs w:val="24"/>
          <w:shd w:val="clear" w:color="auto" w:fill="FFFFFF"/>
        </w:rPr>
        <w:t>Kelly, 2018)</w:t>
      </w:r>
      <w:r w:rsidRPr="00726ECD">
        <w:rPr>
          <w:rFonts w:ascii="Times New Roman" w:hAnsi="Times New Roman" w:cs="Times New Roman"/>
          <w:sz w:val="24"/>
          <w:szCs w:val="24"/>
        </w:rPr>
        <w:t>. The three types of torts include a restraint of trade, theft of trade secrets, and fraudulent misinterpretation. The various forms of tort law that impact Irish businesses are negligence, intentional harm, toxic tort, and nuisance. The torts law helps Irish companies avoid clients</w:t>
      </w:r>
      <w:r w:rsidR="00170970" w:rsidRPr="00726ECD">
        <w:rPr>
          <w:rFonts w:ascii="Times New Roman" w:hAnsi="Times New Roman" w:cs="Times New Roman"/>
          <w:sz w:val="24"/>
          <w:szCs w:val="24"/>
        </w:rPr>
        <w:t>’</w:t>
      </w:r>
      <w:r w:rsidRPr="00726ECD">
        <w:rPr>
          <w:rFonts w:ascii="Times New Roman" w:hAnsi="Times New Roman" w:cs="Times New Roman"/>
          <w:sz w:val="24"/>
          <w:szCs w:val="24"/>
        </w:rPr>
        <w:t xml:space="preserve"> loss, maintain a competitive edge, open new business opportunities, and retain new and existing partners by minimizing the injuries caused on the businesses by the various types and forms of torts. Business owners are</w:t>
      </w:r>
      <w:r w:rsidR="00170970" w:rsidRPr="00726ECD">
        <w:rPr>
          <w:rFonts w:ascii="Times New Roman" w:hAnsi="Times New Roman" w:cs="Times New Roman"/>
          <w:sz w:val="24"/>
          <w:szCs w:val="24"/>
        </w:rPr>
        <w:t xml:space="preserve"> responsible for providing care to their customers by adhering to standard or reasonable care when undertaking business functions to prevent harm to customers.</w:t>
      </w:r>
    </w:p>
    <w:p w:rsidR="00170970" w:rsidRPr="00726ECD" w:rsidRDefault="00AB5245" w:rsidP="00726ECD">
      <w:pPr>
        <w:spacing w:line="480" w:lineRule="auto"/>
        <w:ind w:firstLine="720"/>
        <w:jc w:val="center"/>
        <w:rPr>
          <w:rFonts w:ascii="Times New Roman" w:hAnsi="Times New Roman" w:cs="Times New Roman"/>
          <w:b/>
          <w:bCs/>
          <w:sz w:val="24"/>
          <w:szCs w:val="24"/>
        </w:rPr>
      </w:pPr>
      <w:r w:rsidRPr="00726ECD">
        <w:rPr>
          <w:rFonts w:ascii="Times New Roman" w:hAnsi="Times New Roman" w:cs="Times New Roman"/>
          <w:b/>
          <w:bCs/>
          <w:sz w:val="24"/>
          <w:szCs w:val="24"/>
        </w:rPr>
        <w:t>Question 4 (b)</w:t>
      </w:r>
    </w:p>
    <w:p w:rsidR="005B76F3" w:rsidRPr="00726ECD" w:rsidRDefault="00AB5245" w:rsidP="00726ECD">
      <w:pPr>
        <w:spacing w:line="480" w:lineRule="auto"/>
        <w:ind w:firstLine="720"/>
        <w:rPr>
          <w:rFonts w:ascii="Times New Roman" w:hAnsi="Times New Roman" w:cs="Times New Roman"/>
          <w:sz w:val="24"/>
          <w:szCs w:val="24"/>
        </w:rPr>
      </w:pPr>
      <w:r w:rsidRPr="00726ECD">
        <w:rPr>
          <w:rFonts w:ascii="Times New Roman" w:hAnsi="Times New Roman" w:cs="Times New Roman"/>
          <w:sz w:val="24"/>
          <w:szCs w:val="24"/>
        </w:rPr>
        <w:t xml:space="preserve">Having signed the purchase policy for the company, Mary makes the sale of the sandals legally binding. The company's late realization of the harm would be challenged as negligence, </w:t>
      </w:r>
      <w:r w:rsidRPr="00726ECD">
        <w:rPr>
          <w:rFonts w:ascii="Times New Roman" w:hAnsi="Times New Roman" w:cs="Times New Roman"/>
          <w:sz w:val="24"/>
          <w:szCs w:val="24"/>
        </w:rPr>
        <w:lastRenderedPageBreak/>
        <w:t xml:space="preserve">making it difficult for Mary to obtain a course of action in court. Since contracts are </w:t>
      </w:r>
      <w:r w:rsidR="0020042F" w:rsidRPr="00726ECD">
        <w:rPr>
          <w:rFonts w:ascii="Times New Roman" w:hAnsi="Times New Roman" w:cs="Times New Roman"/>
          <w:sz w:val="24"/>
          <w:szCs w:val="24"/>
        </w:rPr>
        <w:t>legally</w:t>
      </w:r>
      <w:r w:rsidRPr="00726ECD">
        <w:rPr>
          <w:rFonts w:ascii="Times New Roman" w:hAnsi="Times New Roman" w:cs="Times New Roman"/>
          <w:sz w:val="24"/>
          <w:szCs w:val="24"/>
        </w:rPr>
        <w:t xml:space="preserve"> binding, Mary would be bound by the same agreement. This implies that the company would choose to sue Mary for negligence tort if she decides to follow the litigation mechanism for remedy. In such circumstances, the law may not protect because the company clause stated clearly that it does not issue a refund or exchange after a day of purchase and is free from any damage responsibility.</w:t>
      </w:r>
    </w:p>
    <w:p w:rsidR="0020042F" w:rsidRPr="00726ECD" w:rsidRDefault="00AB5245" w:rsidP="00726ECD">
      <w:pPr>
        <w:spacing w:line="480" w:lineRule="auto"/>
        <w:ind w:firstLine="720"/>
        <w:rPr>
          <w:rFonts w:ascii="Times New Roman" w:hAnsi="Times New Roman" w:cs="Times New Roman"/>
          <w:sz w:val="24"/>
          <w:szCs w:val="24"/>
        </w:rPr>
      </w:pPr>
      <w:r w:rsidRPr="00726ECD">
        <w:rPr>
          <w:rFonts w:ascii="Times New Roman" w:hAnsi="Times New Roman" w:cs="Times New Roman"/>
          <w:sz w:val="24"/>
          <w:szCs w:val="24"/>
        </w:rPr>
        <w:t xml:space="preserve">In Jack's case, the law provides full protection since he clearly stated that the purpose of the suit was for a wedding which he communicated the date. Since the company supplied the suit one week later, Jack would be legally allowed to return the commodity to Boston and claim a refund. </w:t>
      </w:r>
      <w:r w:rsidR="00512CF6" w:rsidRPr="00726ECD">
        <w:rPr>
          <w:rFonts w:ascii="Times New Roman" w:hAnsi="Times New Roman" w:cs="Times New Roman"/>
          <w:sz w:val="24"/>
          <w:szCs w:val="24"/>
        </w:rPr>
        <w:t>The contract law entitles the buyer to terminate the agreement when late deliveries occur and, where applicable, claim damages</w:t>
      </w:r>
      <w:r w:rsidRPr="00726ECD">
        <w:rPr>
          <w:rFonts w:ascii="Times New Roman" w:hAnsi="Times New Roman" w:cs="Times New Roman"/>
          <w:sz w:val="24"/>
          <w:szCs w:val="24"/>
        </w:rPr>
        <w:t xml:space="preserve"> (</w:t>
      </w:r>
      <w:r w:rsidRPr="00726ECD">
        <w:rPr>
          <w:rFonts w:ascii="Times New Roman" w:hAnsi="Times New Roman" w:cs="Times New Roman"/>
          <w:color w:val="222222"/>
          <w:sz w:val="24"/>
          <w:szCs w:val="24"/>
          <w:shd w:val="clear" w:color="auto" w:fill="FFFFFF"/>
        </w:rPr>
        <w:t>Kelly, 2018)</w:t>
      </w:r>
      <w:r w:rsidR="00512CF6" w:rsidRPr="00726ECD">
        <w:rPr>
          <w:rFonts w:ascii="Times New Roman" w:hAnsi="Times New Roman" w:cs="Times New Roman"/>
          <w:sz w:val="24"/>
          <w:szCs w:val="24"/>
        </w:rPr>
        <w:t xml:space="preserve">. The law interprets late delivery as a breach of contract by the business, which allows the affected party to seek remedies. The consumer rights act 2015 gives customers the right to refunds if the commodity is faulty. Now, since the wedding event was long passed, Jack would claim the suit to be faulty since it could no longer serve the purpose it was intended for. However, provided that Jack's transaction was online, he could have to pay for the return cost depending on the seller's return policy. If Jack fails to solve the dispute with his supplier, he may contact the competition and consumer protection </w:t>
      </w:r>
      <w:r w:rsidRPr="00726ECD">
        <w:rPr>
          <w:rFonts w:ascii="Times New Roman" w:hAnsi="Times New Roman" w:cs="Times New Roman"/>
          <w:sz w:val="24"/>
          <w:szCs w:val="24"/>
        </w:rPr>
        <w:t xml:space="preserve">commission which deals with all conflicts with traders based in Ireland. </w:t>
      </w:r>
    </w:p>
    <w:p w:rsidR="0020042F" w:rsidRPr="00726ECD" w:rsidRDefault="00AB5245" w:rsidP="00726ECD">
      <w:pPr>
        <w:spacing w:line="480" w:lineRule="auto"/>
        <w:ind w:firstLine="720"/>
        <w:rPr>
          <w:rFonts w:ascii="Times New Roman" w:hAnsi="Times New Roman" w:cs="Times New Roman"/>
          <w:sz w:val="24"/>
          <w:szCs w:val="24"/>
        </w:rPr>
      </w:pPr>
      <w:r w:rsidRPr="00726ECD">
        <w:rPr>
          <w:rFonts w:ascii="Times New Roman" w:hAnsi="Times New Roman" w:cs="Times New Roman"/>
          <w:sz w:val="24"/>
          <w:szCs w:val="24"/>
        </w:rPr>
        <w:br w:type="page"/>
      </w:r>
    </w:p>
    <w:p w:rsidR="00D076FC" w:rsidRPr="00726ECD" w:rsidRDefault="00AB5245" w:rsidP="00726ECD">
      <w:pPr>
        <w:spacing w:line="480" w:lineRule="auto"/>
        <w:ind w:firstLine="720"/>
        <w:jc w:val="center"/>
        <w:rPr>
          <w:rFonts w:ascii="Times New Roman" w:hAnsi="Times New Roman" w:cs="Times New Roman"/>
          <w:sz w:val="24"/>
          <w:szCs w:val="24"/>
        </w:rPr>
      </w:pPr>
      <w:r w:rsidRPr="00726ECD">
        <w:rPr>
          <w:rFonts w:ascii="Times New Roman" w:hAnsi="Times New Roman" w:cs="Times New Roman"/>
          <w:sz w:val="24"/>
          <w:szCs w:val="24"/>
        </w:rPr>
        <w:lastRenderedPageBreak/>
        <w:t>References</w:t>
      </w:r>
    </w:p>
    <w:p w:rsidR="00726ECD" w:rsidRPr="00726ECD" w:rsidRDefault="00726ECD" w:rsidP="00726ECD">
      <w:pPr>
        <w:spacing w:line="480" w:lineRule="auto"/>
        <w:ind w:left="720" w:hanging="720"/>
        <w:rPr>
          <w:rFonts w:ascii="Times New Roman" w:hAnsi="Times New Roman" w:cs="Times New Roman"/>
          <w:color w:val="222222"/>
          <w:sz w:val="24"/>
          <w:szCs w:val="24"/>
          <w:shd w:val="clear" w:color="auto" w:fill="FFFFFF"/>
        </w:rPr>
      </w:pPr>
      <w:r w:rsidRPr="00726ECD">
        <w:rPr>
          <w:rFonts w:ascii="Times New Roman" w:hAnsi="Times New Roman" w:cs="Times New Roman"/>
          <w:color w:val="222222"/>
          <w:sz w:val="24"/>
          <w:szCs w:val="24"/>
          <w:shd w:val="clear" w:color="auto" w:fill="FFFFFF"/>
        </w:rPr>
        <w:t>Djurovic, M., &amp; Janssen, A. (2018). The Formation of Blockchain-based Smart Contracts in the Light of Contract Law. </w:t>
      </w:r>
      <w:r w:rsidRPr="00726ECD">
        <w:rPr>
          <w:rFonts w:ascii="Times New Roman" w:hAnsi="Times New Roman" w:cs="Times New Roman"/>
          <w:i/>
          <w:iCs/>
          <w:color w:val="222222"/>
          <w:sz w:val="24"/>
          <w:szCs w:val="24"/>
          <w:shd w:val="clear" w:color="auto" w:fill="FFFFFF"/>
        </w:rPr>
        <w:t>European Review of Private Law</w:t>
      </w:r>
      <w:r w:rsidRPr="00726ECD">
        <w:rPr>
          <w:rFonts w:ascii="Times New Roman" w:hAnsi="Times New Roman" w:cs="Times New Roman"/>
          <w:color w:val="222222"/>
          <w:sz w:val="24"/>
          <w:szCs w:val="24"/>
          <w:shd w:val="clear" w:color="auto" w:fill="FFFFFF"/>
        </w:rPr>
        <w:t>, </w:t>
      </w:r>
      <w:r w:rsidRPr="00726ECD">
        <w:rPr>
          <w:rFonts w:ascii="Times New Roman" w:hAnsi="Times New Roman" w:cs="Times New Roman"/>
          <w:i/>
          <w:iCs/>
          <w:color w:val="222222"/>
          <w:sz w:val="24"/>
          <w:szCs w:val="24"/>
          <w:shd w:val="clear" w:color="auto" w:fill="FFFFFF"/>
        </w:rPr>
        <w:t>26</w:t>
      </w:r>
      <w:r w:rsidRPr="00726ECD">
        <w:rPr>
          <w:rFonts w:ascii="Times New Roman" w:hAnsi="Times New Roman" w:cs="Times New Roman"/>
          <w:color w:val="222222"/>
          <w:sz w:val="24"/>
          <w:szCs w:val="24"/>
          <w:shd w:val="clear" w:color="auto" w:fill="FFFFFF"/>
        </w:rPr>
        <w:t>(6).</w:t>
      </w:r>
    </w:p>
    <w:p w:rsidR="00726ECD" w:rsidRPr="00726ECD" w:rsidRDefault="00726ECD" w:rsidP="00726ECD">
      <w:pPr>
        <w:spacing w:line="480" w:lineRule="auto"/>
        <w:ind w:left="720" w:hanging="720"/>
        <w:rPr>
          <w:rFonts w:ascii="Times New Roman" w:hAnsi="Times New Roman" w:cs="Times New Roman"/>
          <w:color w:val="222222"/>
          <w:sz w:val="24"/>
          <w:szCs w:val="24"/>
          <w:shd w:val="clear" w:color="auto" w:fill="FFFFFF"/>
        </w:rPr>
      </w:pPr>
      <w:r w:rsidRPr="00726ECD">
        <w:rPr>
          <w:rFonts w:ascii="Times New Roman" w:hAnsi="Times New Roman" w:cs="Times New Roman"/>
          <w:color w:val="222222"/>
          <w:sz w:val="24"/>
          <w:szCs w:val="24"/>
          <w:shd w:val="clear" w:color="auto" w:fill="FFFFFF"/>
        </w:rPr>
        <w:t>Kelly, C. (2018). Consumer reform in Ireland and the UK: Regulatory divergence before, after and without Brexit. </w:t>
      </w:r>
      <w:r w:rsidRPr="00726ECD">
        <w:rPr>
          <w:rFonts w:ascii="Times New Roman" w:hAnsi="Times New Roman" w:cs="Times New Roman"/>
          <w:i/>
          <w:iCs/>
          <w:color w:val="222222"/>
          <w:sz w:val="24"/>
          <w:szCs w:val="24"/>
          <w:shd w:val="clear" w:color="auto" w:fill="FFFFFF"/>
        </w:rPr>
        <w:t>Common-Law World Review</w:t>
      </w:r>
      <w:r w:rsidRPr="00726ECD">
        <w:rPr>
          <w:rFonts w:ascii="Times New Roman" w:hAnsi="Times New Roman" w:cs="Times New Roman"/>
          <w:color w:val="222222"/>
          <w:sz w:val="24"/>
          <w:szCs w:val="24"/>
          <w:shd w:val="clear" w:color="auto" w:fill="FFFFFF"/>
        </w:rPr>
        <w:t>, </w:t>
      </w:r>
      <w:r w:rsidRPr="00726ECD">
        <w:rPr>
          <w:rFonts w:ascii="Times New Roman" w:hAnsi="Times New Roman" w:cs="Times New Roman"/>
          <w:i/>
          <w:iCs/>
          <w:color w:val="222222"/>
          <w:sz w:val="24"/>
          <w:szCs w:val="24"/>
          <w:shd w:val="clear" w:color="auto" w:fill="FFFFFF"/>
        </w:rPr>
        <w:t>47</w:t>
      </w:r>
      <w:r w:rsidRPr="00726ECD">
        <w:rPr>
          <w:rFonts w:ascii="Times New Roman" w:hAnsi="Times New Roman" w:cs="Times New Roman"/>
          <w:color w:val="222222"/>
          <w:sz w:val="24"/>
          <w:szCs w:val="24"/>
          <w:shd w:val="clear" w:color="auto" w:fill="FFFFFF"/>
        </w:rPr>
        <w:t>(1), 53-76.</w:t>
      </w:r>
    </w:p>
    <w:p w:rsidR="00726ECD" w:rsidRPr="00726ECD" w:rsidRDefault="00726ECD" w:rsidP="00726ECD">
      <w:pPr>
        <w:spacing w:line="480" w:lineRule="auto"/>
        <w:ind w:left="720" w:hanging="720"/>
        <w:rPr>
          <w:rFonts w:ascii="Times New Roman" w:hAnsi="Times New Roman" w:cs="Times New Roman"/>
          <w:color w:val="222222"/>
          <w:sz w:val="24"/>
          <w:szCs w:val="24"/>
          <w:shd w:val="clear" w:color="auto" w:fill="FFFFFF"/>
        </w:rPr>
      </w:pPr>
      <w:r w:rsidRPr="00726ECD">
        <w:rPr>
          <w:rFonts w:ascii="Times New Roman" w:hAnsi="Times New Roman" w:cs="Times New Roman"/>
          <w:color w:val="222222"/>
          <w:sz w:val="24"/>
          <w:szCs w:val="24"/>
          <w:shd w:val="clear" w:color="auto" w:fill="FFFFFF"/>
        </w:rPr>
        <w:t>Kirwan, C. E., &amp; Pierce, A. (2017). The role and current status of IFRS in the completion of national accounting rules–Evidence from Ireland. </w:t>
      </w:r>
      <w:r w:rsidRPr="00726ECD">
        <w:rPr>
          <w:rFonts w:ascii="Times New Roman" w:hAnsi="Times New Roman" w:cs="Times New Roman"/>
          <w:i/>
          <w:iCs/>
          <w:color w:val="222222"/>
          <w:sz w:val="24"/>
          <w:szCs w:val="24"/>
          <w:shd w:val="clear" w:color="auto" w:fill="FFFFFF"/>
        </w:rPr>
        <w:t>Accounting in Europe</w:t>
      </w:r>
      <w:r w:rsidRPr="00726ECD">
        <w:rPr>
          <w:rFonts w:ascii="Times New Roman" w:hAnsi="Times New Roman" w:cs="Times New Roman"/>
          <w:color w:val="222222"/>
          <w:sz w:val="24"/>
          <w:szCs w:val="24"/>
          <w:shd w:val="clear" w:color="auto" w:fill="FFFFFF"/>
        </w:rPr>
        <w:t>, </w:t>
      </w:r>
      <w:r w:rsidRPr="00726ECD">
        <w:rPr>
          <w:rFonts w:ascii="Times New Roman" w:hAnsi="Times New Roman" w:cs="Times New Roman"/>
          <w:i/>
          <w:iCs/>
          <w:color w:val="222222"/>
          <w:sz w:val="24"/>
          <w:szCs w:val="24"/>
          <w:shd w:val="clear" w:color="auto" w:fill="FFFFFF"/>
        </w:rPr>
        <w:t>14</w:t>
      </w:r>
      <w:r w:rsidRPr="00726ECD">
        <w:rPr>
          <w:rFonts w:ascii="Times New Roman" w:hAnsi="Times New Roman" w:cs="Times New Roman"/>
          <w:color w:val="222222"/>
          <w:sz w:val="24"/>
          <w:szCs w:val="24"/>
          <w:shd w:val="clear" w:color="auto" w:fill="FFFFFF"/>
        </w:rPr>
        <w:t>(1-2), 113-120.</w:t>
      </w:r>
    </w:p>
    <w:p w:rsidR="00726ECD" w:rsidRPr="00726ECD" w:rsidRDefault="00726ECD" w:rsidP="00726ECD">
      <w:pPr>
        <w:spacing w:line="480" w:lineRule="auto"/>
        <w:ind w:left="720" w:hanging="720"/>
        <w:rPr>
          <w:rFonts w:ascii="Times New Roman" w:hAnsi="Times New Roman" w:cs="Times New Roman"/>
          <w:color w:val="222222"/>
          <w:sz w:val="24"/>
          <w:szCs w:val="24"/>
          <w:shd w:val="clear" w:color="auto" w:fill="FFFFFF"/>
        </w:rPr>
      </w:pPr>
      <w:r w:rsidRPr="00726ECD">
        <w:rPr>
          <w:rFonts w:ascii="Times New Roman" w:hAnsi="Times New Roman" w:cs="Times New Roman"/>
          <w:color w:val="222222"/>
          <w:sz w:val="24"/>
          <w:szCs w:val="24"/>
          <w:shd w:val="clear" w:color="auto" w:fill="FFFFFF"/>
        </w:rPr>
        <w:t>O’Sullivan, M., Turner, T., Lavelle, J., MacMahon, J., Murphy, C., Ryan, L., ... &amp; O’Brien, M. (2020). The role of the state in shaping zero hours work in an atypical liberal market economy. </w:t>
      </w:r>
      <w:r w:rsidRPr="00726ECD">
        <w:rPr>
          <w:rFonts w:ascii="Times New Roman" w:hAnsi="Times New Roman" w:cs="Times New Roman"/>
          <w:i/>
          <w:iCs/>
          <w:color w:val="222222"/>
          <w:sz w:val="24"/>
          <w:szCs w:val="24"/>
          <w:shd w:val="clear" w:color="auto" w:fill="FFFFFF"/>
        </w:rPr>
        <w:t>Economic and Industrial Democracy</w:t>
      </w:r>
      <w:r w:rsidRPr="00726ECD">
        <w:rPr>
          <w:rFonts w:ascii="Times New Roman" w:hAnsi="Times New Roman" w:cs="Times New Roman"/>
          <w:color w:val="222222"/>
          <w:sz w:val="24"/>
          <w:szCs w:val="24"/>
          <w:shd w:val="clear" w:color="auto" w:fill="FFFFFF"/>
        </w:rPr>
        <w:t>, </w:t>
      </w:r>
      <w:r w:rsidRPr="00726ECD">
        <w:rPr>
          <w:rFonts w:ascii="Times New Roman" w:hAnsi="Times New Roman" w:cs="Times New Roman"/>
          <w:i/>
          <w:iCs/>
          <w:color w:val="222222"/>
          <w:sz w:val="24"/>
          <w:szCs w:val="24"/>
          <w:shd w:val="clear" w:color="auto" w:fill="FFFFFF"/>
        </w:rPr>
        <w:t>41</w:t>
      </w:r>
      <w:r w:rsidRPr="00726ECD">
        <w:rPr>
          <w:rFonts w:ascii="Times New Roman" w:hAnsi="Times New Roman" w:cs="Times New Roman"/>
          <w:color w:val="222222"/>
          <w:sz w:val="24"/>
          <w:szCs w:val="24"/>
          <w:shd w:val="clear" w:color="auto" w:fill="FFFFFF"/>
        </w:rPr>
        <w:t>(3), 652-671.</w:t>
      </w:r>
    </w:p>
    <w:sectPr w:rsidR="00726ECD" w:rsidRPr="00726ECD" w:rsidSect="006E3199">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67C5" w:rsidRDefault="009767C5">
      <w:pPr>
        <w:spacing w:after="0" w:line="240" w:lineRule="auto"/>
      </w:pPr>
      <w:r>
        <w:separator/>
      </w:r>
    </w:p>
  </w:endnote>
  <w:endnote w:type="continuationSeparator" w:id="1">
    <w:p w:rsidR="009767C5" w:rsidRDefault="009767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67C5" w:rsidRDefault="009767C5">
      <w:pPr>
        <w:spacing w:after="0" w:line="240" w:lineRule="auto"/>
      </w:pPr>
      <w:r>
        <w:separator/>
      </w:r>
    </w:p>
  </w:footnote>
  <w:footnote w:type="continuationSeparator" w:id="1">
    <w:p w:rsidR="009767C5" w:rsidRDefault="009767C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85716269"/>
      <w:docPartObj>
        <w:docPartGallery w:val="Page Numbers (Top of Page)"/>
        <w:docPartUnique/>
      </w:docPartObj>
    </w:sdtPr>
    <w:sdtEndPr>
      <w:rPr>
        <w:rFonts w:ascii="Times New Roman" w:hAnsi="Times New Roman" w:cs="Times New Roman"/>
        <w:noProof/>
        <w:sz w:val="24"/>
        <w:szCs w:val="24"/>
      </w:rPr>
    </w:sdtEndPr>
    <w:sdtContent>
      <w:p w:rsidR="00EA15B1" w:rsidRPr="00EA15B1" w:rsidRDefault="001E64F7">
        <w:pPr>
          <w:pStyle w:val="Header"/>
          <w:jc w:val="right"/>
          <w:rPr>
            <w:rFonts w:ascii="Times New Roman" w:hAnsi="Times New Roman" w:cs="Times New Roman"/>
            <w:sz w:val="24"/>
            <w:szCs w:val="24"/>
          </w:rPr>
        </w:pPr>
        <w:r w:rsidRPr="00EA15B1">
          <w:rPr>
            <w:rFonts w:ascii="Times New Roman" w:hAnsi="Times New Roman" w:cs="Times New Roman"/>
            <w:sz w:val="24"/>
            <w:szCs w:val="24"/>
          </w:rPr>
          <w:fldChar w:fldCharType="begin"/>
        </w:r>
        <w:r w:rsidR="00AB5245" w:rsidRPr="00EA15B1">
          <w:rPr>
            <w:rFonts w:ascii="Times New Roman" w:hAnsi="Times New Roman" w:cs="Times New Roman"/>
            <w:sz w:val="24"/>
            <w:szCs w:val="24"/>
          </w:rPr>
          <w:instrText xml:space="preserve"> PAGE   \* MERGEFORMAT </w:instrText>
        </w:r>
        <w:r w:rsidRPr="00EA15B1">
          <w:rPr>
            <w:rFonts w:ascii="Times New Roman" w:hAnsi="Times New Roman" w:cs="Times New Roman"/>
            <w:sz w:val="24"/>
            <w:szCs w:val="24"/>
          </w:rPr>
          <w:fldChar w:fldCharType="separate"/>
        </w:r>
        <w:r w:rsidR="00F76AA9">
          <w:rPr>
            <w:rFonts w:ascii="Times New Roman" w:hAnsi="Times New Roman" w:cs="Times New Roman"/>
            <w:noProof/>
            <w:sz w:val="24"/>
            <w:szCs w:val="24"/>
          </w:rPr>
          <w:t>6</w:t>
        </w:r>
        <w:r w:rsidRPr="00EA15B1">
          <w:rPr>
            <w:rFonts w:ascii="Times New Roman" w:hAnsi="Times New Roman" w:cs="Times New Roman"/>
            <w:noProof/>
            <w:sz w:val="24"/>
            <w:szCs w:val="24"/>
          </w:rPr>
          <w:fldChar w:fldCharType="end"/>
        </w:r>
      </w:p>
    </w:sdtContent>
  </w:sdt>
  <w:p w:rsidR="00EA15B1" w:rsidRDefault="00EA15B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A15B1"/>
    <w:rsid w:val="000A5DB5"/>
    <w:rsid w:val="00104060"/>
    <w:rsid w:val="00170970"/>
    <w:rsid w:val="00176D12"/>
    <w:rsid w:val="001E64F7"/>
    <w:rsid w:val="0020042F"/>
    <w:rsid w:val="00221831"/>
    <w:rsid w:val="002909FE"/>
    <w:rsid w:val="002B14D7"/>
    <w:rsid w:val="002C7F02"/>
    <w:rsid w:val="0030394A"/>
    <w:rsid w:val="00333550"/>
    <w:rsid w:val="003A29C9"/>
    <w:rsid w:val="004D2C34"/>
    <w:rsid w:val="00512CF6"/>
    <w:rsid w:val="0057653A"/>
    <w:rsid w:val="005B76F3"/>
    <w:rsid w:val="006200DB"/>
    <w:rsid w:val="006A7445"/>
    <w:rsid w:val="006E3199"/>
    <w:rsid w:val="00701A03"/>
    <w:rsid w:val="00726ECD"/>
    <w:rsid w:val="009767C5"/>
    <w:rsid w:val="009D7C62"/>
    <w:rsid w:val="00AA10B8"/>
    <w:rsid w:val="00AB5245"/>
    <w:rsid w:val="00BA0DF4"/>
    <w:rsid w:val="00BD41AD"/>
    <w:rsid w:val="00CB0BBF"/>
    <w:rsid w:val="00CE108E"/>
    <w:rsid w:val="00D02E0B"/>
    <w:rsid w:val="00D076FC"/>
    <w:rsid w:val="00E75A49"/>
    <w:rsid w:val="00E82C02"/>
    <w:rsid w:val="00EA15B1"/>
    <w:rsid w:val="00F14D8A"/>
    <w:rsid w:val="00F76AA9"/>
    <w:rsid w:val="00F77A99"/>
    <w:rsid w:val="00FE452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1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15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15B1"/>
  </w:style>
  <w:style w:type="paragraph" w:styleId="Footer">
    <w:name w:val="footer"/>
    <w:basedOn w:val="Normal"/>
    <w:link w:val="FooterChar"/>
    <w:uiPriority w:val="99"/>
    <w:unhideWhenUsed/>
    <w:rsid w:val="00EA15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15B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1919</Words>
  <Characters>10942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2021-10-18T13:09:00Z</dcterms:created>
  <dcterms:modified xsi:type="dcterms:W3CDTF">2021-10-18T13:09:00Z</dcterms:modified>
</cp:coreProperties>
</file>